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76" w:rsidRDefault="00AF4C6D" w:rsidP="00FB7276">
      <w:pPr>
        <w:pStyle w:val="a3"/>
        <w:rPr>
          <w:sz w:val="28"/>
        </w:rPr>
      </w:pPr>
      <w:bookmarkStart w:id="0" w:name="_GoBack"/>
      <w:bookmarkEnd w:id="0"/>
      <w:r>
        <w:rPr>
          <w:sz w:val="28"/>
        </w:rPr>
        <w:t>ИЗБИРАТЕЛЬНАЯ КОМИССИЯ</w:t>
      </w:r>
    </w:p>
    <w:p w:rsidR="00A57EC4" w:rsidRDefault="00FB7276" w:rsidP="00FB7276">
      <w:pPr>
        <w:pStyle w:val="a3"/>
        <w:rPr>
          <w:sz w:val="28"/>
        </w:rPr>
      </w:pPr>
      <w:r>
        <w:rPr>
          <w:sz w:val="28"/>
        </w:rPr>
        <w:t>ВОРОНИНСКОГО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8E01F2">
        <w:rPr>
          <w:sz w:val="28"/>
          <w:szCs w:val="28"/>
        </w:rPr>
        <w:t>03</w:t>
      </w:r>
      <w:r w:rsidRPr="00FB4609">
        <w:rPr>
          <w:sz w:val="28"/>
          <w:szCs w:val="28"/>
        </w:rPr>
        <w:t xml:space="preserve"> </w:t>
      </w:r>
      <w:r w:rsidR="00FB7276" w:rsidRPr="00FB4609">
        <w:rPr>
          <w:sz w:val="28"/>
          <w:szCs w:val="28"/>
        </w:rPr>
        <w:t xml:space="preserve">июля  2015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                     </w:t>
      </w:r>
      <w:r w:rsidR="00FB4609" w:rsidRPr="00FB4609">
        <w:rPr>
          <w:sz w:val="28"/>
          <w:szCs w:val="28"/>
        </w:rPr>
        <w:t>№ 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2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r w:rsidR="00FB7276" w:rsidRPr="00FB4609">
        <w:rPr>
          <w:szCs w:val="28"/>
        </w:rPr>
        <w:t>Воронинское</w:t>
      </w:r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Pr="00FB4609">
        <w:rPr>
          <w:sz w:val="28"/>
          <w:szCs w:val="28"/>
        </w:rPr>
        <w:t>Воронинского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r w:rsidR="00291586" w:rsidRPr="00FB4609">
        <w:rPr>
          <w:szCs w:val="28"/>
        </w:rPr>
        <w:t>Воронинское</w:t>
      </w:r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 xml:space="preserve">официальном периодическом печатном издании Воронинского сельского поселения «Информационный бюллетень Воронинского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51705F" w:rsidRPr="00FB4609">
        <w:rPr>
          <w:szCs w:val="28"/>
        </w:rPr>
        <w:t>Воронинского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FB4609" w:rsidRPr="00FB4609">
        <w:rPr>
          <w:sz w:val="28"/>
          <w:szCs w:val="28"/>
        </w:rPr>
        <w:t>Л.В. Франчук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Т.Ю.Долгина</w:t>
      </w:r>
    </w:p>
    <w:p w:rsidR="00291586" w:rsidRDefault="005E6E0D" w:rsidP="00016F12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r w:rsidR="00FB4609" w:rsidRPr="00016F12">
        <w:rPr>
          <w:i/>
          <w:sz w:val="28"/>
        </w:rPr>
        <w:lastRenderedPageBreak/>
        <w:t xml:space="preserve">Приложение </w:t>
      </w:r>
      <w:r w:rsidR="0075185D" w:rsidRPr="00016F12">
        <w:rPr>
          <w:i/>
          <w:sz w:val="28"/>
        </w:rPr>
        <w:t>к Решению Избирательной комиссии Ворони</w:t>
      </w:r>
      <w:r w:rsidR="008E01F2">
        <w:rPr>
          <w:i/>
          <w:sz w:val="28"/>
        </w:rPr>
        <w:t>нского сельского поселения от 03</w:t>
      </w:r>
      <w:r w:rsidR="0075185D" w:rsidRPr="00016F12">
        <w:rPr>
          <w:i/>
          <w:sz w:val="28"/>
        </w:rPr>
        <w:t>.07.2015</w:t>
      </w:r>
      <w:r w:rsidR="00016F12">
        <w:rPr>
          <w:i/>
          <w:sz w:val="28"/>
        </w:rPr>
        <w:t xml:space="preserve"> </w:t>
      </w:r>
      <w:r w:rsidR="00016F12" w:rsidRPr="00016F12">
        <w:rPr>
          <w:i/>
          <w:sz w:val="28"/>
        </w:rPr>
        <w:t>№ 1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 xml:space="preserve"> КАЛЕНДАРНЫЙ ПЛАН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16F12">
        <w:rPr>
          <w:b/>
          <w:sz w:val="24"/>
          <w:szCs w:val="24"/>
        </w:rPr>
        <w:t>ероприятий по подготовке и проведению выборов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Главы муниципального образования «Воронинское сельское поселение»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>День голосования  –  13 сентября 2015 года</w:t>
      </w:r>
    </w:p>
    <w:p w:rsidR="00016F12" w:rsidRPr="00016F12" w:rsidRDefault="00016F12" w:rsidP="00016F12">
      <w:pPr>
        <w:spacing w:after="120"/>
        <w:jc w:val="both"/>
        <w:outlineLvl w:val="0"/>
        <w:rPr>
          <w:b/>
          <w:sz w:val="24"/>
          <w:szCs w:val="24"/>
        </w:rPr>
      </w:pP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         №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sz w:val="24"/>
                <w:szCs w:val="24"/>
              </w:rPr>
              <w:t>. Назначение выборов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представительный орган муниципального образования не назначит выборы в вышеуказанные сроки.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ранее 14 июня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 2015 года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(23 июня 2015 года)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6A7DE6" w:rsidRDefault="006A7DE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(26 июня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копии решения о назначении выборов в Управление Роскомнадзора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9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3 дня со дня официального опубликования  решения о назначении выборов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Управление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016F12" w:rsidRPr="006A7DE6" w:rsidRDefault="00016F12" w:rsidP="006A7DE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</w:t>
            </w:r>
            <w:r w:rsidRPr="00016F12">
              <w:rPr>
                <w:b/>
                <w:sz w:val="24"/>
                <w:szCs w:val="24"/>
              </w:rPr>
              <w:t>.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состав которой он входит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D59E4" w:rsidRDefault="00016F12" w:rsidP="005D59E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sz w:val="24"/>
                <w:szCs w:val="24"/>
              </w:rPr>
              <w:t>. Избирательные участки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Образование избирательных участков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ч.5 ст.12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августа 2015 года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исключительных случаях по согласованию с Избирательной комиссией Томской области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12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Глава </w:t>
            </w:r>
            <w:r w:rsidRPr="00016F12">
              <w:rPr>
                <w:sz w:val="24"/>
                <w:szCs w:val="24"/>
              </w:rPr>
              <w:t>местной администрации муниципального района, городского округа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избирательных участках, образованных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ст.12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2 дня после их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3E573F" w:rsidRDefault="00016F12" w:rsidP="003E573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IV</w:t>
            </w:r>
            <w:r w:rsidR="003E573F">
              <w:rPr>
                <w:b/>
                <w:sz w:val="24"/>
                <w:szCs w:val="24"/>
              </w:rPr>
              <w:t>. Списки избирателей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Глава местной администрации муниципального района, городского округа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сведений об избирателях в участковую избирательную комиссию, образованную в местах  временного пребывания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образования участковых избирательных комиссий либо 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(если на данный момент такая комиссия образована)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Руководитель учреждения,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котором избиратели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временно пребывают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Формирование и представление сведений об </w:t>
            </w:r>
            <w:r w:rsidRPr="00016F12">
              <w:rPr>
                <w:sz w:val="24"/>
                <w:szCs w:val="24"/>
              </w:rPr>
              <w:t>избирателях - 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</w:t>
            </w:r>
            <w:r w:rsidRPr="00016F12">
              <w:rPr>
                <w:iCs/>
                <w:sz w:val="24"/>
                <w:szCs w:val="24"/>
              </w:rPr>
              <w:t xml:space="preserve">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Командир воинской части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проведении выборов по единому списку избирателей при совмещении выборов в органы местного самоуправления с выборами в органы государственной власти Томской области.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Составление списков избирателей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избирательному участку, образованному в местах временного пребывания избирателей (больница, санаторий, дом отдыха, место содержания под стражей подозреваемых и обвиняемых, другое место временного пребывания) на основании сведений об избирателях, представленных руководителем учреждения, где избиратель временно пребывает.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 на основании сведений, представленных руководителями учреждений, где избиратели временно пребывают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iCs/>
                <w:sz w:val="24"/>
                <w:szCs w:val="24"/>
              </w:rPr>
              <w:t>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Председатель и секретарь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первых экземпляров списков избирателей в участковые избирательные комиссии (по акту)        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избирателям списков избирателей для ознакомления и дополнительного уточнения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Включение  избирателей  в 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любое время,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часов, а 13 сентября 2015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 . 9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9465AC" w:rsidRDefault="00016F12" w:rsidP="009465A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sz w:val="24"/>
                <w:szCs w:val="24"/>
              </w:rPr>
              <w:t>. Выдвиж</w:t>
            </w:r>
            <w:r w:rsidR="009465AC">
              <w:rPr>
                <w:b/>
                <w:sz w:val="24"/>
                <w:szCs w:val="24"/>
              </w:rPr>
              <w:t>ение и регистрация 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31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пп. «в» п. 1 ст. 27  </w:t>
            </w:r>
            <w:r w:rsidRPr="00016F12">
              <w:rPr>
                <w:bCs/>
                <w:i/>
                <w:sz w:val="24"/>
                <w:szCs w:val="24"/>
              </w:rPr>
              <w:t>№ 95-ФЗ</w:t>
            </w:r>
            <w:r w:rsidRPr="00016F12">
              <w:rPr>
                <w:i/>
                <w:sz w:val="24"/>
                <w:szCs w:val="24"/>
              </w:rPr>
              <w:t xml:space="preserve">             «О политических партиях» </w:t>
            </w:r>
            <w:r w:rsidRPr="00016F12">
              <w:rPr>
                <w:bCs/>
                <w:i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обладающие пассивным избирательным правом;</w:t>
            </w:r>
            <w:r w:rsidRPr="00016F12">
              <w:rPr>
                <w:b/>
                <w:i/>
                <w:sz w:val="24"/>
                <w:szCs w:val="24"/>
              </w:rPr>
              <w:t xml:space="preserve"> </w:t>
            </w:r>
            <w:r w:rsidRPr="00016F12">
              <w:rPr>
                <w:sz w:val="24"/>
                <w:szCs w:val="24"/>
              </w:rPr>
              <w:t>избирательные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7 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8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r w:rsidRPr="00016F12">
              <w:rPr>
                <w:sz w:val="24"/>
                <w:szCs w:val="24"/>
              </w:rPr>
              <w:t xml:space="preserve">3,3.1 ст. 29 Закона ТО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(в соответствии с ч. 4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32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за          2 суток до заседания избирательной комиссии, на котором должен рассматриваться вопрос о регистрации 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Закрытие 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отчуждение иностранных финансовых инструментов.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4.2.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  моменту представления документов, необходимых для регистрации кандидата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13, 14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17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8F0105" w:rsidRDefault="00016F12" w:rsidP="008F010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</w:t>
            </w:r>
            <w:r w:rsidR="008F0105">
              <w:rPr>
                <w:b/>
                <w:sz w:val="24"/>
                <w:szCs w:val="24"/>
              </w:rPr>
              <w:t>. Статус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7, 9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7, 8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10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24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26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избирательное объединение выдвинувшее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7 сентября,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24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23, 24 ст. 33, ч. 2 ст. 77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п. 5 ст. 78 № 67-ФЗ «Об основных гарантиях избирательных прав...»; ч. 3 ст. 259, ч. 3 ст. 260 ГПК РФ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зарегистрированный 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также в случаях, установленных № 67-ФЗ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«Об основных гарантиях избирательных прав...», прокурор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22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563B8" w:rsidRDefault="00016F12" w:rsidP="005563B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перечня государствен.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на пятый день после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соответствующим органом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сведений в избирательную комиссию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муниципального периодического печатного издания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бесплатной печатной площади между зарегистрированными  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периодического печатного издания с участием заинтересованных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бесплатного эфирного времени между 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14 августа 2015 года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с участием представителей организаций телерадиовещания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графика распределения эфирного времени в средства массовой информации и обнародование.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проведения жеребьёвки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15 августа и до ноля часов по местному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43 Закона ТО №29-ОЗ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 и 4 ст. 43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4.1 ст. 43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в орган исполнительной власти Томской области или орган местного самоуправления уведомления о проведении публичных мероприятий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(за исключением собрания и пикетирования, проводимого одним участником).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и не позднее 10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дня проведения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уведомлений о проведении пикетирования группой лиц.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3 дней до дня его проведения,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если указанные дни совпадают с воскресеньем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(или) нерабочим праздничным днем (нерабочими праздничными днями),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дней до дня его проведения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пикетирования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 ст. 38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форм и порядка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в избирательную комиссию муниципального образования данных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23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осуществляющие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8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сентября по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5563B8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sz w:val="24"/>
                <w:szCs w:val="24"/>
              </w:rPr>
              <w:t>Финансирование выборов: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порядка открытия и ведения счетов, учета, отчетности и перечисления денежных средств, выделенных из местного бюджета избирательным комиссиям на подготовку и проведение выборов, эксплуатацию и развитие средств автоматизации, обучение организаторов выборов и избирателей и обеспечение деятельности комиссий.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порядка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4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представительный орган муниципального образования  отчета о поступлении и расходовании средств местного бюджета, выделенных на подготовку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 дней со дня  опубликования 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A41019" w:rsidP="00A41019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избирательной  комиссией  уведомления о выдвижении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  - немедленно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 и до предоставления итогового финансового отчёта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ноября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r w:rsidRPr="00016F12">
              <w:rPr>
                <w:sz w:val="24"/>
                <w:szCs w:val="24"/>
              </w:rPr>
              <w:t xml:space="preserve">илиал отделения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 ст. 50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 w:rsidR="00A41019"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 позднее чем через 5 дней  со дня их получения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копий финансовых отчётов зарегистриров.  кандидатов.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016F12" w:rsidRDefault="00016F12" w:rsidP="00A41019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sz w:val="24"/>
                <w:szCs w:val="24"/>
              </w:rPr>
              <w:t>. Голосование и о</w:t>
            </w:r>
            <w:r w:rsidR="00A41019">
              <w:rPr>
                <w:b/>
                <w:sz w:val="24"/>
                <w:szCs w:val="24"/>
              </w:rPr>
              <w:t>пределение  результатов выборов: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76165E" w:rsidRDefault="0076165E" w:rsidP="0076165E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Избирательные бюллетени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Изготовление в помощь избирателям, являющимся инвалидами по зрению, специальных трафаретов для самостоятельного заполнения бюллетеня, в том числе с применением рельефно-точечного шрифта Брайля.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Определение избирательных участков, для которых изготавливаются трафареты для самостоятельного заполнения бюллетеня, в том числе с применением рельефно-точечного шрифта Брайля.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месте и времени получения избирательных бюллетеней избирательной комиссией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 соответствующей полиграфической организации, уничтожения бракованных и лишних избирательных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передачи участковым  избирательным комиссиям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11.1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В срок, установленный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проведения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за 1 день до дня досрочного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111</w:t>
            </w:r>
          </w:p>
        </w:tc>
        <w:tc>
          <w:tcPr>
            <w:tcW w:w="3713" w:type="dxa"/>
          </w:tcPr>
          <w:p w:rsidR="00016F12" w:rsidRPr="00016F12" w:rsidRDefault="00B7433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="00016F12"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B74332" w:rsidRDefault="00016F12" w:rsidP="00B74332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Про</w:t>
            </w:r>
            <w:r w:rsidR="00B74332">
              <w:rPr>
                <w:b/>
                <w:i/>
                <w:sz w:val="24"/>
                <w:szCs w:val="24"/>
              </w:rPr>
              <w:t>ведение досрочного голосования: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или иным способом при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условии проведения 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10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 августа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о времени и месте голосования через средства массовой информации или иным способом при условии проведения досрочного голосования в соответствии 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    5 дней до дня голосования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и установление итогов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окончания досрочного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 течение нескольких дней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в целом по избирательному участку.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сентября 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сентября 2015 года,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9 по 12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18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ч. 19 ст. 61 Закона ТО № 29-ОЗ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 завершения времени досрочного голосовании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сентября 2015 года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 комиссия в избирательную комиссию муниципального образования,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3F3C80" w:rsidRDefault="00016F12" w:rsidP="003F3C80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День  гол</w:t>
            </w:r>
            <w:r w:rsidR="003F3C80">
              <w:rPr>
                <w:b/>
                <w:i/>
                <w:sz w:val="24"/>
                <w:szCs w:val="24"/>
              </w:rPr>
              <w:t>осования 13 сентября 2015 года: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60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60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8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сентября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27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30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66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требованию для ознакомления избирателям, кандидатам, доверенным лицам кандидатов, упол. представителям изб. объединений,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 комиссия, в которую поступило соответствующее требование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Незамедлительно  после определения результатов выборов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 ч. 2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октября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ноября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главы муниципального образования и  выдача ему удостоверения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после официального опубликования результатов выборов и при представления  кандидатом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75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соответствии с Порядком, утвержденным постановлением Избирательной комиссией Томской области от 26.05.2015 № 51/415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016F12" w:rsidRPr="00016F12" w:rsidRDefault="00016F12" w:rsidP="00016F12">
      <w:pPr>
        <w:spacing w:after="120"/>
        <w:jc w:val="both"/>
        <w:outlineLvl w:val="0"/>
        <w:rPr>
          <w:sz w:val="24"/>
          <w:szCs w:val="24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jc w:val="both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5E" w:rsidRDefault="0076165E" w:rsidP="00291586">
      <w:r>
        <w:separator/>
      </w:r>
    </w:p>
  </w:endnote>
  <w:endnote w:type="continuationSeparator" w:id="0">
    <w:p w:rsidR="0076165E" w:rsidRDefault="0076165E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5E" w:rsidRDefault="0076165E" w:rsidP="00291586">
      <w:r>
        <w:separator/>
      </w:r>
    </w:p>
  </w:footnote>
  <w:footnote w:type="continuationSeparator" w:id="0">
    <w:p w:rsidR="0076165E" w:rsidRDefault="0076165E" w:rsidP="00291586">
      <w:r>
        <w:continuationSeparator/>
      </w:r>
    </w:p>
  </w:footnote>
  <w:footnote w:id="1">
    <w:p w:rsidR="0076165E" w:rsidRDefault="0076165E" w:rsidP="00016F12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76165E" w:rsidRPr="00276D1F" w:rsidRDefault="0076165E" w:rsidP="00016F1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76165E" w:rsidRDefault="0076165E" w:rsidP="00016F12">
      <w:pPr>
        <w:pStyle w:val="af3"/>
      </w:pPr>
    </w:p>
  </w:footnote>
  <w:footnote w:id="3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  <w:footnote w:id="4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6F12"/>
    <w:rsid w:val="00240149"/>
    <w:rsid w:val="00291586"/>
    <w:rsid w:val="002C64CC"/>
    <w:rsid w:val="003D6A3F"/>
    <w:rsid w:val="003E573F"/>
    <w:rsid w:val="003F3C80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75185D"/>
    <w:rsid w:val="0076165E"/>
    <w:rsid w:val="007F0C05"/>
    <w:rsid w:val="008A713E"/>
    <w:rsid w:val="008E01F2"/>
    <w:rsid w:val="008F0105"/>
    <w:rsid w:val="009465AC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E6B7B"/>
    <w:rsid w:val="00E33AD1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475F3-99AB-40DA-A4F3-82A5CA4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763;fld=134;dst=100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404AC-85EB-4B94-8CED-17DE7FD6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6169</Words>
  <Characters>41225</Characters>
  <Application>Microsoft Office Word</Application>
  <DocSecurity>0</DocSecurity>
  <Lines>343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47300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4</cp:revision>
  <cp:lastPrinted>2014-07-04T07:52:00Z</cp:lastPrinted>
  <dcterms:created xsi:type="dcterms:W3CDTF">2015-06-28T06:38:00Z</dcterms:created>
  <dcterms:modified xsi:type="dcterms:W3CDTF">2015-07-08T08:38:00Z</dcterms:modified>
</cp:coreProperties>
</file>